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303</w:t>
      </w:r>
    </w:p>
    <w:p>
      <w:r>
        <w:t>Bundesgericht (BGE), 2000-09-26, FR</w:t>
      </w:r>
    </w:p>
    <w:p>
      <w:r>
        <w:rPr>
          <w:b/>
        </w:rPr>
        <w:t xml:space="preserve">Quelle: </w:t>
      </w:r>
      <w:r>
        <w:t>https://mcp.opencaselaw.ch/entscheid/bge_126 V 303</w:t>
      </w:r>
    </w:p>
    <w:p>
      <w:r>
        <w:t>FR: ATF 126 V 303</w:t>
      </w:r>
    </w:p>
    <w:p>
      <w:r>
        <w:t>IT: DTF 126 V 303</w:t>
      </w:r>
    </w:p>
    <w:p>
      <w:pPr>
        <w:pStyle w:val="Heading2"/>
      </w:pPr>
      <w:r>
        <w:t>Regeste</w:t>
      </w:r>
    </w:p>
    <w:p>
      <w:r>
        <w:t>Regeste Art. 2 Abs. 2 BVG; Art. 1 Abs. 1 lit. b BVV 2; Art. 154 Abs. 1 OR: Unterstellung unter das Versicherungsobligatorium. Auf unbefristete Dauer beschäftigte Arbeitnehmer sind der obligatorischen Versicherung unterstellt. Ein Saisonnier mit einem eine auflösende Bedingung im Sinne von Art. 154 OR enthaltenden Arbeitsvertrag ist der obligatorischen Versicherung unterstellt, da eine solche Vereinbarung keinen auf eine bestimmte Dauer geschlossenen Vertrag begründet.</w:t>
      </w:r>
    </w:p>
    <w:p>
      <w:pPr>
        <w:pStyle w:val="Heading2"/>
      </w:pPr>
      <w:r>
        <w:t>Erwägungen</w:t>
      </w:r>
    </w:p>
    <w:p>
      <w:r>
        <w:rPr>
          <w:b/>
        </w:rPr>
        <w:t>E. 2</w:t>
      </w:r>
    </w:p>
    <w:p>
      <w:r>
        <w:t>Il convient d'examiner le mérite des arguments que le recourant développe sur le fond du litige en vue d'établir sa qualité d'assuré à l'égard de l'une ou l'autre des deux institutions intimées. BGE 126 V 303 S. 306 a) Selon l'art. 10 al. 1 LPP, l'assurance obligatoire commence en même temps que les rapports de travail. Y sont soumis les salariés qui ont plus de 17 ans et reçoivent d'un même employeur un salaire annuel supérieur au montant limite fixé à l'art. 7 LPP (art. 2 al. 1 LPP). Lorsqu'un salarié est occupé par un employeur pendant moins d'une année, son salaire annuel est réputé être celui qu'il obtiendrait en travaillant toute l'année (art. 2 OPP 2). Aux termes de l'art. 2 al. 2 LPP, le Conseil fédéral définit les catégories de salariés qui, pour des motifs particuliers, ne sont pas soumis à l'assurance obligatoire. C'est ce qu'il a fait en édictant l'art. 1er al. 1 let. b OPP 2, qui prévoit que les salariés engagés pour une durée limitée ne dépassant pas trois mois ne sont pas soumis à l'assurance obligatoire (première phrase); en cas de prolongation des rapports de travail au-delà de trois mois, le salarié est assujetti à l'assurance obligatoire dès le moment où la prolongation a été convenue (seconde phrase). b) Se fondant sur les déclarations de T., l'ancien employeur du recourant, les premiers juges ont considéré que ce dernier n'était pas au bénéfice d'un contrat de travail d'une durée supérieure à trois mois au moment déterminant, et qu'il n'était donc pas soumis à l'assurance obligatoire en application de l'art. 1er al. 1 let. b OPP 2. Le recourant conteste ce point de vue, en faisant valoir qu'au regard de l'aménagement des relations de travail avec son ancien employeur durant les années qui ont précédé l'accident, l'existence d'un contrat d'une durée supérieure à trois mois doit être admise. c) Il est pour le moins douteux que lors de l'engagement en mars 1991 la volonté commune de l'employeur et du recourant fût de subordonner le maintien des rapports de travail à l'obtention d'un permis de travail saisonnier. Il appert en effet qu'une année auparavant à pareille époque, soit en mars 1990, I. avait également commencé à travailler pour le compte de T. et que, nonobstant une réponse négative de l'autorité compétente en matière d'autorisation de travail, il était resté au service de cet employeur jusqu'à la fin de l'année. Or, on ne voit pas pourquoi les parties intéressées en auraient décidé autrement pour l'année 1991. Au reste, si véritablement l'employeur "tenait à occuper un employé dont la situation était régularisée sur le plan légal", comme il l'a allégué devant la cour cantonale, on peut s'étonner qu'il ait pris le recourant à son service avant même que l'autorité compétente ne se fût prononcée sur le droit de celui-ci de résider et de travailler en Suisse. A cela s'ajoute que, selon un relevé du 29 juin 1995 de l'Office cantonal de contrôle des BGE 126 V 303 S. 307 habitants et de police des étrangers, ce n'est qu'après la survenance de l'accident du 7 mars 1991 qu'une demande de permis de travail a été présentée à l'autorité pour l'année 1991, ce qui tend à démontrer que l'obtention d'un tel permis n'était pas, aux yeux de l'employeur et du travailleur, une condition primordiale au maintien de leurs rapports de travail. d) Cela étant, quand bien même les parties se seraient mises d'accord, comme l'a allégué T., sur la résolution des rapports de travail en cas de non-obtention d'un permis saisonnier, le recourant n'en pourrait pas moins se prévaloir de l'existence d'un contrat de travail d'une durée propre à lui garantir la soumission à l'assurance obligatoire. Car seuls les salariés qui sont engagés pour une durée déterminée inférieure à trois mois ne sont pas soumis à l'assurance obligatoire en vertu de l'art. 1er al. 1 let. b OPP 2, mais non ceux dont l'engagement est d'une durée déterminée supérieure à trois mois ou d'une durée indéterminée (JÜRG BRÜHWILER, Die betriebliche Personalvorsorge in der Schweiz, Berne 1989, pp. 276 et 477 ss; CARL HELBLING, Les institutions de prévoyance et la LPP, Berne 1991, p. 79; voir aussi le commentaire de l'OFAS au sujet du projet d'OPP 2, août 1983, p. 7). Or, en l'occurrence, même s'il fallait s'en remettre à la version de l'employeur, on ne voit pas que les parties auraient conclu un contrat de travail de durée déterminée, qui plus est pour un temps inférieur à trois mois. Cela supposerait en effet qu'on pût objectivement, et avec suffisamment de précision, déterminer à l'avance cette durée lors de la conclusion du contrat (BRUNNER/BÜHLER/WAEBER, Commentaire du contrat de travail, 2e édition, Lausanne 1996, n. 2 ad art. 334 CO; BRÜHWILER, Kommentar zum Einzelarbeitsvertrag, 2e édition, Berne 1996, n. 1 ad art. 334 CO; STREIFF/VON KAENEL, Arbeitsvertrag: Leitfaden zum Arbeitsvertragsrecht, 5e édition, Zurich 1992, n. 2 ad art. 334 CO; MANFRED REHBINDER, Berner Kommentar, Kommentar zu den Art. 331-335 OR , Berne 1992, n. 7 ad art. 334 CO; BRAND et al., Der Einzelarbeitsvertrag im Obligationenrecht, Muri/Berne 1991, n. 5 ad art. 334 CO). Mais cela n'était justement pas possible dans le cas d'espèce, puisque les parties étaient simplement convenues, aux dires de l'employeur, de résoudre leurs rapports de travail en cas de refus de l'autorité compétente de délivrer un permis de travail: non seulement le moment auquel cet événement devait se produire était ainsi incertain, mais encore la survenance même d'un tel événement présentait un caractère aléatoire, l'autorité pouvant tout aussi bien décider d'octroyer un permis de travail. En réalité, les parties ont BGE 126 V 303 S. 308 stipulé une condition résolutoire au sens de l'art. 154 CO, ce qui ne donne nullement lieu à un contrat de durée déterminée même si une partie de la doctrine propose d'appliquer à ce genre de convention les règles relatives au contrat de durée déterminée (cf. REHBINDER, loc.cit.; THOMAS BRENDER, Rechtsprobleme des befristeten Arbeitsvertrages, thèse Zurich 1976, p. 29). e) Dans ces conditions, force est d'admettre que le recourant était bien au bénéfice d'un contrat de durée indéterminée lorsque s'est produit l'accident du 7 mars 1991. Par ailleurs, vu le salaire de 580 francs qu'il a réalisé du 4 au 7 mars 1991 (et vu celui qu'il a réalisé durant les années antérieures), il pouvait prétendre, en 1991, un salaire annualisé (cf. art. 2 OPP 2) supérieur à la limite fixée à l'art. 7 al. 1 LPP, qui se montait alors à 19'200 francs (art. 5 OPP 2, dans sa teneur en vigueur dès le 1er janvier 1990; RO 1989 II 1901). Par conséquent, le recourant remplissait en 1991 les conditions de la soumission à l'assurance obligatoire. C'est donc l'institution de prévoyance à laquelle son employeur était affilié à cette époque qui doit prendre en charge les séquelles de l'accident (cf. art. 10 al. 1 LPP et art. 7 al. 1 LPP) ou, à défaut d'affiliation à une institution de prévoyance - comme le soutient la fondation intimée -, l'institution supplétive (cf. art. 12 al. 1 LPP). Le recours est bien fondé.</w:t>
      </w:r>
    </w:p>
    <w:p>
      <w:r>
        <w:rPr>
          <w:b/>
        </w:rPr>
        <w:t>E. 3</w:t>
      </w:r>
    </w:p>
    <w:p>
      <w:r>
        <w:t>Au vu de ce qui précède, il se justifie d'annuler le jugement entrepris et de renvoyer la cause à la juridiction cantonale afin qu'elle détermine laquelle des intimées doit fournir des prestations au recourant, ainsi que l'étendue de celles-ci.b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